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B3" w:rsidRDefault="006A77B3">
      <w:pPr>
        <w:spacing w:line="259" w:lineRule="auto"/>
        <w:ind w:left="0" w:firstLine="0"/>
      </w:pPr>
      <w:bookmarkStart w:id="0" w:name="_GoBack"/>
      <w:bookmarkEnd w:id="0"/>
    </w:p>
    <w:p w:rsidR="006A77B3" w:rsidRDefault="0035255E">
      <w:pPr>
        <w:spacing w:line="259" w:lineRule="auto"/>
        <w:ind w:left="0" w:firstLine="0"/>
      </w:pPr>
      <w:r>
        <w:rPr>
          <w:color w:val="000000"/>
          <w:sz w:val="20"/>
        </w:rPr>
        <w:t xml:space="preserve"> </w:t>
      </w:r>
    </w:p>
    <w:p w:rsidR="006A77B3" w:rsidRDefault="0035255E">
      <w:pPr>
        <w:spacing w:after="22" w:line="259" w:lineRule="auto"/>
        <w:ind w:left="3166" w:right="80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4246321</wp:posOffset>
            </wp:positionH>
            <wp:positionV relativeFrom="paragraph">
              <wp:posOffset>-11515</wp:posOffset>
            </wp:positionV>
            <wp:extent cx="1512570" cy="86550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z w:val="20"/>
        </w:rPr>
        <w:t xml:space="preserve">      </w:t>
      </w:r>
    </w:p>
    <w:p w:rsidR="006A77B3" w:rsidRDefault="0035255E">
      <w:pPr>
        <w:spacing w:after="199" w:line="259" w:lineRule="auto"/>
        <w:ind w:left="0" w:right="802" w:firstLine="0"/>
      </w:pPr>
      <w:r>
        <w:rPr>
          <w:rFonts w:ascii="Arial" w:eastAsia="Arial" w:hAnsi="Arial" w:cs="Arial"/>
          <w:b/>
          <w:color w:val="000000"/>
        </w:rPr>
        <w:t xml:space="preserve"> </w:t>
      </w:r>
    </w:p>
    <w:p w:rsidR="006A77B3" w:rsidRDefault="0035255E">
      <w:pPr>
        <w:spacing w:line="259" w:lineRule="auto"/>
        <w:ind w:left="0" w:right="802" w:firstLine="0"/>
      </w:pPr>
      <w:r>
        <w:rPr>
          <w:color w:val="000000"/>
          <w:sz w:val="22"/>
        </w:rPr>
        <w:t xml:space="preserve"> </w:t>
      </w:r>
    </w:p>
    <w:p w:rsidR="006A77B3" w:rsidRDefault="0035255E">
      <w:pPr>
        <w:spacing w:line="259" w:lineRule="auto"/>
        <w:ind w:left="-5" w:right="802"/>
      </w:pPr>
      <w:r>
        <w:rPr>
          <w:color w:val="000000"/>
          <w:sz w:val="22"/>
        </w:rPr>
        <w:t xml:space="preserve">Askim Bordtennisklubb </w:t>
      </w:r>
    </w:p>
    <w:p w:rsidR="006A77B3" w:rsidRDefault="0035255E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 </w:t>
      </w:r>
      <w:r>
        <w:rPr>
          <w:color w:val="000000"/>
          <w:sz w:val="22"/>
        </w:rPr>
        <w:tab/>
        <w:t xml:space="preserve"> </w:t>
      </w:r>
    </w:p>
    <w:p w:rsidR="006A77B3" w:rsidRDefault="0035255E">
      <w:pPr>
        <w:tabs>
          <w:tab w:val="center" w:pos="5705"/>
          <w:tab w:val="center" w:pos="8359"/>
        </w:tabs>
        <w:spacing w:line="259" w:lineRule="auto"/>
        <w:ind w:left="-15" w:firstLine="0"/>
      </w:pPr>
      <w:r>
        <w:rPr>
          <w:color w:val="000000"/>
          <w:sz w:val="22"/>
        </w:rPr>
        <w:t xml:space="preserve"> </w:t>
      </w:r>
      <w:r>
        <w:rPr>
          <w:color w:val="000000"/>
          <w:sz w:val="22"/>
        </w:rPr>
        <w:tab/>
        <w:t xml:space="preserve">Vår </w:t>
      </w:r>
      <w:proofErr w:type="spellStart"/>
      <w:r>
        <w:rPr>
          <w:color w:val="000000"/>
          <w:sz w:val="22"/>
        </w:rPr>
        <w:t>ref</w:t>
      </w:r>
      <w:proofErr w:type="spellEnd"/>
      <w:r>
        <w:rPr>
          <w:color w:val="000000"/>
          <w:sz w:val="22"/>
        </w:rPr>
        <w:t xml:space="preserve">: 740932/v1 </w:t>
      </w:r>
      <w:r>
        <w:rPr>
          <w:color w:val="000000"/>
          <w:sz w:val="22"/>
        </w:rPr>
        <w:tab/>
        <w:t xml:space="preserve">27.04.2015 </w:t>
      </w:r>
    </w:p>
    <w:p w:rsidR="006A77B3" w:rsidRDefault="0035255E">
      <w:pPr>
        <w:spacing w:after="65"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6A77B3" w:rsidRDefault="0035255E">
      <w:pPr>
        <w:pStyle w:val="Overskrift1"/>
      </w:pPr>
      <w:r>
        <w:t xml:space="preserve">Dispensasjon fra NIFs lov § 2-4 kjønnsfordeling </w:t>
      </w:r>
    </w:p>
    <w:p w:rsidR="006A77B3" w:rsidRDefault="0035255E">
      <w:pPr>
        <w:spacing w:line="259" w:lineRule="auto"/>
        <w:ind w:left="0" w:firstLine="0"/>
      </w:pPr>
      <w:r>
        <w:rPr>
          <w:color w:val="000000"/>
          <w:sz w:val="22"/>
        </w:rPr>
        <w:t xml:space="preserve"> </w:t>
      </w:r>
    </w:p>
    <w:p w:rsidR="006A77B3" w:rsidRDefault="0035255E">
      <w:pPr>
        <w:spacing w:after="17" w:line="237" w:lineRule="auto"/>
        <w:ind w:left="0" w:firstLine="0"/>
      </w:pPr>
      <w:r>
        <w:rPr>
          <w:sz w:val="22"/>
        </w:rPr>
        <w:t xml:space="preserve">Østfold Idrettskrets har mottatt søknad fra </w:t>
      </w:r>
      <w:r>
        <w:rPr>
          <w:color w:val="000000"/>
          <w:sz w:val="22"/>
        </w:rPr>
        <w:t>Askim BTK</w:t>
      </w:r>
      <w:r>
        <w:rPr>
          <w:sz w:val="22"/>
        </w:rPr>
        <w:t xml:space="preserve"> om dispensasjon fra NIFs lov § 2-4 kjønnsfordeling.</w:t>
      </w:r>
      <w:r>
        <w:rPr>
          <w:color w:val="000000"/>
          <w:sz w:val="22"/>
        </w:rPr>
        <w:t xml:space="preserve"> </w:t>
      </w:r>
    </w:p>
    <w:p w:rsidR="006A77B3" w:rsidRDefault="0035255E">
      <w:pPr>
        <w:spacing w:after="113" w:line="259" w:lineRule="auto"/>
        <w:ind w:left="0" w:firstLine="0"/>
      </w:pPr>
      <w:r>
        <w:t xml:space="preserve"> </w:t>
      </w:r>
    </w:p>
    <w:p w:rsidR="006A77B3" w:rsidRDefault="0035255E">
      <w:pPr>
        <w:spacing w:after="162"/>
        <w:ind w:left="-5" w:right="672"/>
      </w:pPr>
      <w:r>
        <w:t xml:space="preserve">Av saksfremstillingen legger ØIK følgende faktum til grunn: </w:t>
      </w:r>
    </w:p>
    <w:p w:rsidR="006A77B3" w:rsidRDefault="0035255E">
      <w:pPr>
        <w:spacing w:line="350" w:lineRule="auto"/>
        <w:ind w:left="370" w:right="2009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Askim BTK er et særidrettslag, som har aktivitet innen </w:t>
      </w:r>
      <w:proofErr w:type="gramStart"/>
      <w:r>
        <w:t xml:space="preserve">bordtennis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>Askim</w:t>
      </w:r>
      <w:proofErr w:type="gramEnd"/>
      <w:r>
        <w:t xml:space="preserve"> BTK har jobbet aktivt med å oppfylle kravet i §2-4 </w:t>
      </w:r>
    </w:p>
    <w:p w:rsidR="006A77B3" w:rsidRDefault="0035255E">
      <w:pPr>
        <w:spacing w:after="111" w:line="259" w:lineRule="auto"/>
        <w:ind w:left="0" w:firstLine="0"/>
      </w:pPr>
      <w:r>
        <w:t xml:space="preserve"> </w:t>
      </w:r>
    </w:p>
    <w:p w:rsidR="006A77B3" w:rsidRDefault="0035255E">
      <w:pPr>
        <w:spacing w:after="112" w:line="259" w:lineRule="auto"/>
        <w:ind w:left="-5"/>
      </w:pPr>
      <w:proofErr w:type="spellStart"/>
      <w:r>
        <w:rPr>
          <w:b/>
        </w:rPr>
        <w:t>ØIKs</w:t>
      </w:r>
      <w:proofErr w:type="spellEnd"/>
      <w:r>
        <w:rPr>
          <w:b/>
        </w:rPr>
        <w:t xml:space="preserve"> vurdering: </w:t>
      </w:r>
    </w:p>
    <w:p w:rsidR="006A77B3" w:rsidRDefault="0035255E">
      <w:pPr>
        <w:spacing w:line="357" w:lineRule="auto"/>
        <w:ind w:left="-5" w:right="672"/>
      </w:pPr>
      <w:r>
        <w:t xml:space="preserve">I henhold til NIFs lov § 2-4 må det </w:t>
      </w:r>
      <w:proofErr w:type="gramStart"/>
      <w:r>
        <w:t>foreligge ”s</w:t>
      </w:r>
      <w:r>
        <w:t>ærlige</w:t>
      </w:r>
      <w:proofErr w:type="gramEnd"/>
      <w:r>
        <w:t>” grunner for at det skal gis dispensasjon fra bestemmelsen. NIF har også signalisert at bestemmelsen skal vurderes særlig strengt. Videre følger det av forskrift for dispensasjon fra NIFs lov § 2-4 at det ved behandlingen av dispensasjonssøknader bl</w:t>
      </w:r>
      <w:r>
        <w:t xml:space="preserve">ant annet skal vurderes hvilke tiltak som er gjort for å oppfylle bestemmelsen, kjønnsfordeling i medlemsmassen, og om det er søkt om dispensasjon tidligere. </w:t>
      </w:r>
    </w:p>
    <w:p w:rsidR="006A77B3" w:rsidRDefault="0035255E">
      <w:pPr>
        <w:spacing w:after="113" w:line="259" w:lineRule="auto"/>
        <w:ind w:left="0" w:firstLine="0"/>
      </w:pPr>
      <w:r>
        <w:t xml:space="preserve"> </w:t>
      </w:r>
    </w:p>
    <w:p w:rsidR="006A77B3" w:rsidRDefault="0035255E">
      <w:pPr>
        <w:spacing w:after="112" w:line="259" w:lineRule="auto"/>
        <w:ind w:left="-5"/>
      </w:pPr>
      <w:r>
        <w:rPr>
          <w:b/>
        </w:rPr>
        <w:t xml:space="preserve">Vedtak: </w:t>
      </w:r>
    </w:p>
    <w:p w:rsidR="006A77B3" w:rsidRDefault="0035255E">
      <w:pPr>
        <w:spacing w:line="358" w:lineRule="auto"/>
        <w:ind w:left="-5" w:right="672"/>
      </w:pPr>
      <w:r>
        <w:t xml:space="preserve">Med bakgrunn i dette </w:t>
      </w:r>
      <w:r>
        <w:rPr>
          <w:b/>
        </w:rPr>
        <w:t>innvilges søknaden</w:t>
      </w:r>
      <w:r>
        <w:t xml:space="preserve"> om dispensasjon fra NIFs lov § 2-4 frem til år</w:t>
      </w:r>
      <w:r>
        <w:t xml:space="preserve">smøte 2016.  </w:t>
      </w:r>
    </w:p>
    <w:p w:rsidR="006A77B3" w:rsidRDefault="0035255E">
      <w:pPr>
        <w:spacing w:line="259" w:lineRule="auto"/>
        <w:ind w:left="0" w:firstLine="0"/>
      </w:pPr>
      <w:r>
        <w:t xml:space="preserve"> </w:t>
      </w:r>
    </w:p>
    <w:p w:rsidR="006A77B3" w:rsidRDefault="0035255E">
      <w:pPr>
        <w:spacing w:after="105"/>
        <w:ind w:left="-5" w:right="672"/>
      </w:pPr>
      <w:r>
        <w:t xml:space="preserve">Med hilsen </w:t>
      </w:r>
    </w:p>
    <w:p w:rsidR="006A77B3" w:rsidRDefault="0035255E">
      <w:pPr>
        <w:spacing w:after="105"/>
        <w:ind w:left="-5" w:right="672"/>
      </w:pPr>
      <w:r>
        <w:t xml:space="preserve">Østfold Idrettskrets </w:t>
      </w:r>
    </w:p>
    <w:p w:rsidR="006A77B3" w:rsidRDefault="0035255E">
      <w:pPr>
        <w:spacing w:after="128" w:line="259" w:lineRule="auto"/>
        <w:ind w:left="0" w:firstLine="0"/>
      </w:pPr>
      <w:r>
        <w:t xml:space="preserve"> </w:t>
      </w:r>
    </w:p>
    <w:p w:rsidR="006A77B3" w:rsidRDefault="0035255E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086"/>
        </w:tabs>
        <w:spacing w:after="125"/>
        <w:ind w:left="-15" w:firstLine="0"/>
      </w:pPr>
      <w:r>
        <w:t xml:space="preserve">Toril A. Johansen (s)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Frode Jensen </w:t>
      </w:r>
    </w:p>
    <w:p w:rsidR="006A77B3" w:rsidRDefault="0035255E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389"/>
        <w:ind w:left="-15" w:firstLine="0"/>
      </w:pPr>
      <w:r>
        <w:t xml:space="preserve">Organisasjonssjef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Fagkonsulent </w:t>
      </w:r>
    </w:p>
    <w:p w:rsidR="006A77B3" w:rsidRDefault="0035255E">
      <w:pPr>
        <w:spacing w:line="259" w:lineRule="auto"/>
        <w:ind w:left="-1" w:firstLine="0"/>
        <w:jc w:val="right"/>
      </w:pPr>
      <w:r>
        <w:rPr>
          <w:noProof/>
        </w:rPr>
        <w:drawing>
          <wp:inline distT="0" distB="0" distL="0" distR="0">
            <wp:extent cx="6236335" cy="1077595"/>
            <wp:effectExtent l="0" t="0" r="0" b="0"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3633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0"/>
        </w:rPr>
        <w:t xml:space="preserve"> </w:t>
      </w:r>
    </w:p>
    <w:p w:rsidR="006A77B3" w:rsidRDefault="0035255E">
      <w:pPr>
        <w:spacing w:line="259" w:lineRule="auto"/>
        <w:ind w:left="0" w:firstLine="0"/>
      </w:pPr>
      <w:r>
        <w:rPr>
          <w:rFonts w:ascii="Arial" w:eastAsia="Arial" w:hAnsi="Arial" w:cs="Arial"/>
          <w:color w:val="000000"/>
          <w:sz w:val="20"/>
        </w:rPr>
        <w:t xml:space="preserve"> </w:t>
      </w:r>
    </w:p>
    <w:sectPr w:rsidR="006A77B3" w:rsidSect="0035255E">
      <w:pgSz w:w="11906" w:h="16838"/>
      <w:pgMar w:top="851" w:right="618" w:bottom="510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3"/>
    <w:rsid w:val="0035255E"/>
    <w:rsid w:val="006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6AE6-5382-4D59-9925-05F9EF4E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5" w:lineRule="auto"/>
      <w:ind w:left="10" w:hanging="10"/>
    </w:pPr>
    <w:rPr>
      <w:rFonts w:ascii="Georgia" w:eastAsia="Georgia" w:hAnsi="Georgia" w:cs="Georgia"/>
      <w:color w:val="404040"/>
      <w:sz w:val="24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outlineLvl w:val="0"/>
    </w:pPr>
    <w:rPr>
      <w:rFonts w:ascii="Georgia" w:eastAsia="Georgia" w:hAnsi="Georgia" w:cs="Georgia"/>
      <w:b/>
      <w:color w:val="000000"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Georgia" w:eastAsia="Georgia" w:hAnsi="Georgia" w:cs="Georgia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Karlsen, Christian A.</dc:creator>
  <cp:keywords/>
  <cp:lastModifiedBy>Claus Tjelle</cp:lastModifiedBy>
  <cp:revision>2</cp:revision>
  <dcterms:created xsi:type="dcterms:W3CDTF">2015-04-27T12:03:00Z</dcterms:created>
  <dcterms:modified xsi:type="dcterms:W3CDTF">2015-04-27T12:03:00Z</dcterms:modified>
</cp:coreProperties>
</file>